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Georgia" w:cs="Georgia" w:eastAsia="Georgia" w:hAnsi="Georgia"/>
          <w:b w:val="1"/>
          <w:color w:val="231f20"/>
        </w:rPr>
      </w:pPr>
      <w:r w:rsidDel="00000000" w:rsidR="00000000" w:rsidRPr="00000000">
        <w:rPr>
          <w:rFonts w:ascii="Georgia" w:cs="Georgia" w:eastAsia="Georgia" w:hAnsi="Georgia"/>
          <w:b w:val="1"/>
          <w:color w:val="231f20"/>
          <w:rtl w:val="0"/>
        </w:rPr>
        <w:t xml:space="preserve">Villas de Ñuñoa</w:t>
      </w:r>
    </w:p>
    <w:p w:rsidR="00000000" w:rsidDel="00000000" w:rsidP="00000000" w:rsidRDefault="00000000" w:rsidRPr="00000000" w14:paraId="00000002">
      <w:pPr>
        <w:jc w:val="both"/>
        <w:rPr>
          <w:rFonts w:ascii="Georgia" w:cs="Georgia" w:eastAsia="Georgia" w:hAnsi="Georgia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Georgia" w:cs="Georgia" w:eastAsia="Georgia" w:hAnsi="Georgia"/>
          <w:color w:val="231f20"/>
        </w:rPr>
      </w:pP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Hacia mediados del siglo XX, cerca del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30% de la población vivía en callampas, conventillos o viviendas precarias</w:t>
      </w:r>
      <w:r w:rsidDel="00000000" w:rsidR="00000000" w:rsidRPr="00000000">
        <w:rPr>
          <w:rFonts w:ascii="Georgia" w:cs="Georgia" w:eastAsia="Georgia" w:hAnsi="Georgia"/>
          <w:vertAlign w:val="superscript"/>
        </w:rPr>
        <w:footnoteReference w:customMarkFollows="0" w:id="0"/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En este contexto se crea en 1953, la </w:t>
      </w: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Corporación de Vivienda (CORVI) y en 1965, el Ministerio de Vivienda.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Georgia" w:cs="Georgia" w:eastAsia="Georgia" w:hAnsi="Georgia"/>
          <w:color w:val="231f20"/>
        </w:rPr>
      </w:pP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La comuna de Ñuñoa, a pesar de ser considerada una </w:t>
      </w:r>
      <w:r w:rsidDel="00000000" w:rsidR="00000000" w:rsidRPr="00000000">
        <w:rPr>
          <w:rFonts w:ascii="Georgia" w:cs="Georgia" w:eastAsia="Georgia" w:hAnsi="Georgia"/>
          <w:i w:val="1"/>
          <w:color w:val="231f20"/>
          <w:rtl w:val="0"/>
        </w:rPr>
        <w:t xml:space="preserve">comuna jardín,</w:t>
      </w: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 fue también el terreno donde se construyeron diversas iniciativas habitacionales llevadas a cabo por cooperativas, por Cajas de Empleados y por el Estado. La consecutiva fragmentación de las Chacras Valparaíso y Valdivieso, dio origen a la Villa Frei y la Villa Olímpica, respectivamente. 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Georgia" w:cs="Georgia" w:eastAsia="Georgia" w:hAnsi="Georgia"/>
          <w:color w:val="231f20"/>
        </w:rPr>
      </w:pP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La Villa Frei fue construida entre 1964 y 1970 por la Caja de Empleados Particulares EMPART</w:t>
      </w:r>
      <w:r w:rsidDel="00000000" w:rsidR="00000000" w:rsidRPr="00000000">
        <w:rPr>
          <w:rFonts w:ascii="Georgia" w:cs="Georgia" w:eastAsia="Georgia" w:hAnsi="Georgia"/>
          <w:color w:val="231f20"/>
          <w:vertAlign w:val="superscript"/>
        </w:rPr>
        <w:footnoteReference w:customMarkFollows="0" w:id="1"/>
      </w: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. Su construcción de 40 hectáreas se caracterizó por sus bloques de distintas tipologías y por circundar el hermoso Parque Ramón Cruz, pulmón verde de la comuna.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Georgia" w:cs="Georgia" w:eastAsia="Georgia" w:hAnsi="Georgia"/>
          <w:color w:val="231f20"/>
        </w:rPr>
      </w:pP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La Villa Olímpica, en tanto, se erigió a partir de 1961</w:t>
      </w:r>
      <w:r w:rsidDel="00000000" w:rsidR="00000000" w:rsidRPr="00000000">
        <w:rPr>
          <w:rFonts w:ascii="Georgia" w:cs="Georgia" w:eastAsia="Georgia" w:hAnsi="Georgia"/>
          <w:vertAlign w:val="superscript"/>
        </w:rPr>
        <w:footnoteReference w:customMarkFollows="0" w:id="2"/>
      </w: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 y fue conformada por un total de 82 edificios</w:t>
      </w:r>
      <w:r w:rsidDel="00000000" w:rsidR="00000000" w:rsidRPr="00000000">
        <w:rPr>
          <w:rFonts w:ascii="Georgia" w:cs="Georgia" w:eastAsia="Georgia" w:hAnsi="Georgia"/>
          <w:color w:val="231f20"/>
          <w:vertAlign w:val="superscript"/>
        </w:rPr>
        <w:footnoteReference w:customMarkFollows="0" w:id="3"/>
      </w: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, los que se dispusieron en 28 hectáreas</w:t>
      </w:r>
      <w:r w:rsidDel="00000000" w:rsidR="00000000" w:rsidRPr="00000000">
        <w:rPr>
          <w:rFonts w:ascii="Georgia" w:cs="Georgia" w:eastAsia="Georgia" w:hAnsi="Georgia"/>
          <w:color w:val="231f20"/>
          <w:vertAlign w:val="superscript"/>
        </w:rPr>
        <w:footnoteReference w:customMarkFollows="0" w:id="4"/>
      </w: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Georgia" w:cs="Georgia" w:eastAsia="Georgia" w:hAnsi="Georgia"/>
          <w:color w:val="231f20"/>
        </w:rPr>
      </w:pP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A pesar de tener un origen distinto, estas dos Villas tienen en común su arquitectura moderna, similar a la Villa Portales, a la Unidad Vecinal Providencia y a la Población Juan Antonio Ríos. Todas ellas con amplios espacios comunitarios, los que propician el encuentro y la convivencia. Tanto la Villa Frei como la Villa Olímpica, son abrazadas por parques y áreas deportivas, los que se entrelazan con las juntas de vecinos, colegios, ferias libres y espacios de devoción. Sus habitantes, de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composición social heterogénea, comparten también el haber experimentado la cruda represión en tiempos de la dictadura cívico-militar, reafirmándose allí, su historia e identidad.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Georgia" w:cs="Georgia" w:eastAsia="Georgia" w:hAnsi="Georgia"/>
          <w:color w:val="231f20"/>
        </w:rPr>
      </w:pPr>
      <w:r w:rsidDel="00000000" w:rsidR="00000000" w:rsidRPr="00000000">
        <w:rPr>
          <w:rFonts w:ascii="Georgia" w:cs="Georgia" w:eastAsia="Georgia" w:hAnsi="Georgia"/>
          <w:color w:val="231f20"/>
          <w:rtl w:val="0"/>
        </w:rPr>
        <w:t xml:space="preserve">Estas Villas le confieren un sello característico a la comuna, las que después del Estallido Social del 18 de Octubre de 2019, han honrado más que nunca su origen colectivo y comunitario.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Georgia" w:cs="Georgia" w:eastAsia="Georgia" w:hAnsi="Georgia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Mario Garcés,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Tomando su sitio: El movimiento de pobladores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Santiago 1957-1970, Santiago: LOM, 2002, p. 64</w:t>
      </w:r>
    </w:p>
  </w:footnote>
  <w:footnote w:id="1"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Irene Miranda y Magdalena Piñera,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Guía Metodológica “Ojo con Ñuñoa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Santiago: Ed. Fundación Futuro e Ilustre Municipalidad de Ñuñoa, 2008, p. 17 </w:t>
      </w:r>
    </w:p>
  </w:footnote>
  <w:footnote w:id="2"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Soledad Martínez y Marcela Moreno,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Informe Villa Olímpica, Proyecto Fondecyt: “Comunidad e Identidad urbana. Historias de barrios del Gran Santiago: 1950 – 2000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”. Santiago: s/i, 2005, p. 16</w:t>
      </w:r>
    </w:p>
  </w:footnote>
  <w:footnote w:id="3"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Cultura Mapocho,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Guía Recorridos Patrimoniales por Santiago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Santiago: Ed. FONDART, 2011, p. 43 </w:t>
      </w:r>
    </w:p>
  </w:footnote>
  <w:footnote w:id="4"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Daniel Palma,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Villa Olímpica: Apuntes para su historia. Expediente Técnico para postulación a Monumento Nacional categoría Zona Típica Villa Olímpica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Santiago: Ed. FONDART, 2011, p. 5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79014C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7901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79014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vosGLrANBtxX5dTI37N705IiQ==">AMUW2mVqJQ1Mlwj489Yqq8tHVyjkWsMiTgQ/ednt29JsLjm85zitrcwsl2oVnPGOX6SscCKOoUiQCcdshkdGowYgicp72VNlKINyFbQ6Q4gunQ0r3kmtAHc=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2021-06-21T17:54:00Z</dcterms:created>
  <dc:creator>Araucaria Rojas</dc:creator>
</cp:coreProperties>
</file>